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33309" w14:textId="77777777" w:rsidR="00745CFD" w:rsidRDefault="00745CFD" w:rsidP="005C57B6">
      <w:pPr>
        <w:jc w:val="center"/>
        <w:rPr>
          <w:lang w:val="tr-TR"/>
        </w:rPr>
      </w:pPr>
    </w:p>
    <w:p w14:paraId="5CB456A0" w14:textId="59557B2C" w:rsidR="005C57B6" w:rsidRPr="00060AC1" w:rsidRDefault="005C57B6" w:rsidP="005C57B6">
      <w:pPr>
        <w:jc w:val="center"/>
        <w:rPr>
          <w:lang w:val="tr-TR"/>
        </w:rPr>
      </w:pPr>
      <w:r w:rsidRPr="00060AC1">
        <w:rPr>
          <w:lang w:val="tr-TR"/>
        </w:rPr>
        <w:t>Nevşehir Hacı Bektaş Veli Üniversitesi</w:t>
      </w:r>
    </w:p>
    <w:p w14:paraId="6E6E7489" w14:textId="775BDD35" w:rsidR="009A5E0C" w:rsidRPr="00060AC1" w:rsidRDefault="005C57B6" w:rsidP="005C57B6">
      <w:pPr>
        <w:jc w:val="center"/>
        <w:rPr>
          <w:lang w:val="tr-TR"/>
        </w:rPr>
      </w:pPr>
      <w:r w:rsidRPr="00060AC1">
        <w:rPr>
          <w:lang w:val="tr-TR"/>
        </w:rPr>
        <w:t>İşletme Bölümü Öğrenci Profili ve Yerleşme Verileri</w:t>
      </w:r>
    </w:p>
    <w:p w14:paraId="03290FF2" w14:textId="77777777" w:rsidR="00745CFD" w:rsidRPr="00060AC1" w:rsidRDefault="00745CFD" w:rsidP="005C57B6">
      <w:pPr>
        <w:jc w:val="center"/>
        <w:rPr>
          <w:lang w:val="tr-TR"/>
        </w:rPr>
      </w:pPr>
    </w:p>
    <w:p w14:paraId="14A1E14E" w14:textId="7C80822B" w:rsidR="005C57B6" w:rsidRPr="00060AC1" w:rsidRDefault="005C57B6" w:rsidP="005C57B6">
      <w:pPr>
        <w:jc w:val="both"/>
        <w:rPr>
          <w:lang w:val="tr-TR"/>
        </w:rPr>
      </w:pPr>
      <w:r w:rsidRPr="00060AC1">
        <w:rPr>
          <w:lang w:val="tr-TR"/>
        </w:rPr>
        <w:t>Bu rapor, 202</w:t>
      </w:r>
      <w:r w:rsidR="00F026BD">
        <w:rPr>
          <w:lang w:val="tr-TR"/>
        </w:rPr>
        <w:t>3</w:t>
      </w:r>
      <w:r w:rsidRPr="00060AC1">
        <w:rPr>
          <w:lang w:val="tr-TR"/>
        </w:rPr>
        <w:t>–202</w:t>
      </w:r>
      <w:r w:rsidR="00F026BD">
        <w:rPr>
          <w:lang w:val="tr-TR"/>
        </w:rPr>
        <w:t>5</w:t>
      </w:r>
      <w:r w:rsidRPr="00060AC1">
        <w:rPr>
          <w:lang w:val="tr-TR"/>
        </w:rPr>
        <w:t xml:space="preserve"> yılları arasında İşletme Bölümüne yerleşen öğrencilerin başarı göstergeleri ve devamında 202</w:t>
      </w:r>
      <w:r w:rsidR="00F026BD">
        <w:rPr>
          <w:lang w:val="tr-TR"/>
        </w:rPr>
        <w:t>5</w:t>
      </w:r>
      <w:r w:rsidRPr="00060AC1">
        <w:rPr>
          <w:lang w:val="tr-TR"/>
        </w:rPr>
        <w:t xml:space="preserve"> yılı için, cinsiyet dağılımları ve YKS net ortalamalarına ilişkin temel verileri özetlemektedir. Sunulan bilgiler, bölümün son yıllardaki öğrenci niteliğini değerlendirme ve akademik planlamayı destekleme amacı taşımaktadır.</w:t>
      </w:r>
    </w:p>
    <w:p w14:paraId="0AE1BA63" w14:textId="3CD0EECF" w:rsidR="005C57B6" w:rsidRPr="00060AC1" w:rsidRDefault="005C57B6" w:rsidP="005C57B6">
      <w:pPr>
        <w:jc w:val="both"/>
        <w:rPr>
          <w:b/>
          <w:bCs/>
          <w:lang w:val="tr-TR"/>
        </w:rPr>
      </w:pPr>
      <w:r w:rsidRPr="00060AC1">
        <w:rPr>
          <w:b/>
          <w:bCs/>
          <w:lang w:val="tr-TR"/>
        </w:rPr>
        <w:t>Tablo 1.</w:t>
      </w:r>
    </w:p>
    <w:tbl>
      <w:tblPr>
        <w:tblW w:w="9145" w:type="dxa"/>
        <w:tblInd w:w="-5" w:type="dxa"/>
        <w:tblLook w:val="04A0" w:firstRow="1" w:lastRow="0" w:firstColumn="1" w:lastColumn="0" w:noHBand="0" w:noVBand="1"/>
      </w:tblPr>
      <w:tblGrid>
        <w:gridCol w:w="943"/>
        <w:gridCol w:w="1507"/>
        <w:gridCol w:w="1443"/>
        <w:gridCol w:w="2564"/>
        <w:gridCol w:w="2688"/>
      </w:tblGrid>
      <w:tr w:rsidR="00F91094" w:rsidRPr="00060AC1" w14:paraId="23BAE176" w14:textId="77777777" w:rsidTr="005C57B6">
        <w:trPr>
          <w:trHeight w:val="769"/>
        </w:trPr>
        <w:tc>
          <w:tcPr>
            <w:tcW w:w="943" w:type="dxa"/>
            <w:tcBorders>
              <w:top w:val="single" w:sz="4" w:space="0" w:color="auto"/>
              <w:left w:val="single" w:sz="4" w:space="0" w:color="auto"/>
              <w:bottom w:val="single" w:sz="4" w:space="0" w:color="auto"/>
              <w:right w:val="single" w:sz="4" w:space="0" w:color="auto"/>
            </w:tcBorders>
            <w:noWrap/>
            <w:vAlign w:val="center"/>
            <w:hideMark/>
          </w:tcPr>
          <w:p w14:paraId="470AAAFF" w14:textId="77777777" w:rsidR="00F91094" w:rsidRPr="00060AC1" w:rsidRDefault="00F91094" w:rsidP="00F91094">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 </w:t>
            </w:r>
          </w:p>
        </w:tc>
        <w:tc>
          <w:tcPr>
            <w:tcW w:w="1507" w:type="dxa"/>
            <w:tcBorders>
              <w:top w:val="single" w:sz="4" w:space="0" w:color="auto"/>
              <w:left w:val="nil"/>
              <w:bottom w:val="single" w:sz="4" w:space="0" w:color="auto"/>
              <w:right w:val="single" w:sz="4" w:space="0" w:color="auto"/>
            </w:tcBorders>
            <w:noWrap/>
            <w:vAlign w:val="center"/>
            <w:hideMark/>
          </w:tcPr>
          <w:p w14:paraId="7F4ED3F9" w14:textId="5577F1E7"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Tavan Puan</w:t>
            </w:r>
          </w:p>
        </w:tc>
        <w:tc>
          <w:tcPr>
            <w:tcW w:w="1443" w:type="dxa"/>
            <w:tcBorders>
              <w:top w:val="single" w:sz="4" w:space="0" w:color="auto"/>
              <w:left w:val="nil"/>
              <w:bottom w:val="single" w:sz="4" w:space="0" w:color="auto"/>
              <w:right w:val="single" w:sz="4" w:space="0" w:color="auto"/>
            </w:tcBorders>
            <w:noWrap/>
            <w:vAlign w:val="center"/>
            <w:hideMark/>
          </w:tcPr>
          <w:p w14:paraId="0E26E169" w14:textId="5016DD69"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Taban Puan</w:t>
            </w:r>
          </w:p>
        </w:tc>
        <w:tc>
          <w:tcPr>
            <w:tcW w:w="2564" w:type="dxa"/>
            <w:tcBorders>
              <w:top w:val="single" w:sz="4" w:space="0" w:color="auto"/>
              <w:left w:val="nil"/>
              <w:bottom w:val="single" w:sz="4" w:space="0" w:color="auto"/>
              <w:right w:val="single" w:sz="4" w:space="0" w:color="auto"/>
            </w:tcBorders>
            <w:noWrap/>
            <w:vAlign w:val="center"/>
            <w:hideMark/>
          </w:tcPr>
          <w:p w14:paraId="04A226A1" w14:textId="5700700A"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İlk Yerleşen Başarı Sırası</w:t>
            </w:r>
          </w:p>
        </w:tc>
        <w:tc>
          <w:tcPr>
            <w:tcW w:w="2688" w:type="dxa"/>
            <w:tcBorders>
              <w:top w:val="single" w:sz="4" w:space="0" w:color="auto"/>
              <w:left w:val="nil"/>
              <w:bottom w:val="single" w:sz="4" w:space="0" w:color="auto"/>
              <w:right w:val="single" w:sz="4" w:space="0" w:color="auto"/>
            </w:tcBorders>
            <w:noWrap/>
            <w:vAlign w:val="center"/>
            <w:hideMark/>
          </w:tcPr>
          <w:p w14:paraId="5BB0ABC7" w14:textId="443405E0" w:rsidR="00F91094" w:rsidRPr="00060AC1" w:rsidRDefault="00E52C39" w:rsidP="00F91094">
            <w:pPr>
              <w:spacing w:after="0" w:line="240" w:lineRule="auto"/>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Son Yerleşen Başarı Sırası</w:t>
            </w:r>
          </w:p>
        </w:tc>
      </w:tr>
      <w:tr w:rsidR="00F91094" w:rsidRPr="00060AC1" w14:paraId="54EE2C98" w14:textId="77777777" w:rsidTr="00F026BD">
        <w:trPr>
          <w:trHeight w:val="769"/>
        </w:trPr>
        <w:tc>
          <w:tcPr>
            <w:tcW w:w="943" w:type="dxa"/>
            <w:tcBorders>
              <w:top w:val="nil"/>
              <w:left w:val="single" w:sz="4" w:space="0" w:color="auto"/>
              <w:bottom w:val="single" w:sz="4" w:space="0" w:color="auto"/>
              <w:right w:val="single" w:sz="4" w:space="0" w:color="auto"/>
            </w:tcBorders>
            <w:noWrap/>
            <w:vAlign w:val="center"/>
          </w:tcPr>
          <w:p w14:paraId="5368427C" w14:textId="5337112A" w:rsidR="00F91094" w:rsidRPr="00060AC1" w:rsidRDefault="00F026BD" w:rsidP="00F91094">
            <w:pPr>
              <w:spacing w:after="0" w:line="240" w:lineRule="auto"/>
              <w:jc w:val="center"/>
              <w:rPr>
                <w:rFonts w:ascii="Calibri" w:eastAsia="Times New Roman" w:hAnsi="Calibri" w:cs="Calibri"/>
                <w:color w:val="000000"/>
                <w:kern w:val="0"/>
                <w:lang w:val="tr-TR"/>
                <w14:ligatures w14:val="none"/>
              </w:rPr>
            </w:pPr>
            <w:r>
              <w:rPr>
                <w:rFonts w:ascii="Calibri" w:eastAsia="Times New Roman" w:hAnsi="Calibri" w:cs="Calibri"/>
                <w:color w:val="000000"/>
                <w:kern w:val="0"/>
                <w:lang w:val="tr-TR"/>
                <w14:ligatures w14:val="none"/>
              </w:rPr>
              <w:t>2025</w:t>
            </w:r>
          </w:p>
        </w:tc>
        <w:tc>
          <w:tcPr>
            <w:tcW w:w="1507" w:type="dxa"/>
            <w:tcBorders>
              <w:top w:val="nil"/>
              <w:left w:val="nil"/>
              <w:bottom w:val="single" w:sz="4" w:space="0" w:color="auto"/>
              <w:right w:val="single" w:sz="4" w:space="0" w:color="auto"/>
            </w:tcBorders>
            <w:noWrap/>
            <w:vAlign w:val="center"/>
          </w:tcPr>
          <w:p w14:paraId="61CB67FC" w14:textId="20E52DF4" w:rsidR="00F91094" w:rsidRPr="00060AC1" w:rsidRDefault="00F026BD" w:rsidP="00F91094">
            <w:pPr>
              <w:spacing w:after="0" w:line="240" w:lineRule="auto"/>
              <w:jc w:val="center"/>
              <w:rPr>
                <w:rFonts w:ascii="Calibri" w:eastAsia="Times New Roman" w:hAnsi="Calibri" w:cs="Calibri"/>
                <w:color w:val="000000"/>
                <w:kern w:val="0"/>
                <w:lang w:val="tr-TR"/>
                <w14:ligatures w14:val="none"/>
              </w:rPr>
            </w:pPr>
            <w:r w:rsidRPr="00F026BD">
              <w:rPr>
                <w:rFonts w:ascii="Calibri" w:eastAsia="Times New Roman" w:hAnsi="Calibri" w:cs="Calibri"/>
                <w:color w:val="000000"/>
                <w:kern w:val="0"/>
                <w:lang w:val="tr-TR"/>
                <w14:ligatures w14:val="none"/>
              </w:rPr>
              <w:t>336,028</w:t>
            </w:r>
          </w:p>
        </w:tc>
        <w:tc>
          <w:tcPr>
            <w:tcW w:w="1443" w:type="dxa"/>
            <w:tcBorders>
              <w:top w:val="nil"/>
              <w:left w:val="nil"/>
              <w:bottom w:val="single" w:sz="4" w:space="0" w:color="auto"/>
              <w:right w:val="single" w:sz="4" w:space="0" w:color="auto"/>
            </w:tcBorders>
            <w:noWrap/>
            <w:vAlign w:val="center"/>
          </w:tcPr>
          <w:p w14:paraId="53611FB0" w14:textId="68A11B5A" w:rsidR="00F91094" w:rsidRPr="00060AC1" w:rsidRDefault="00F026BD" w:rsidP="00F91094">
            <w:pPr>
              <w:spacing w:after="0" w:line="240" w:lineRule="auto"/>
              <w:jc w:val="center"/>
              <w:rPr>
                <w:rFonts w:ascii="Calibri" w:eastAsia="Times New Roman" w:hAnsi="Calibri" w:cs="Calibri"/>
                <w:color w:val="000000"/>
                <w:kern w:val="0"/>
                <w:lang w:val="tr-TR"/>
                <w14:ligatures w14:val="none"/>
              </w:rPr>
            </w:pPr>
            <w:r w:rsidRPr="00F026BD">
              <w:rPr>
                <w:rFonts w:ascii="Calibri" w:eastAsia="Times New Roman" w:hAnsi="Calibri" w:cs="Calibri"/>
                <w:color w:val="000000"/>
                <w:kern w:val="0"/>
                <w:lang w:val="tr-TR"/>
                <w14:ligatures w14:val="none"/>
              </w:rPr>
              <w:t>276,589</w:t>
            </w:r>
          </w:p>
        </w:tc>
        <w:tc>
          <w:tcPr>
            <w:tcW w:w="2564" w:type="dxa"/>
            <w:tcBorders>
              <w:top w:val="nil"/>
              <w:left w:val="nil"/>
              <w:bottom w:val="single" w:sz="4" w:space="0" w:color="auto"/>
              <w:right w:val="single" w:sz="4" w:space="0" w:color="auto"/>
            </w:tcBorders>
            <w:noWrap/>
            <w:vAlign w:val="center"/>
          </w:tcPr>
          <w:p w14:paraId="5009876A" w14:textId="24469355" w:rsidR="00F91094" w:rsidRPr="00060AC1" w:rsidRDefault="00F026BD" w:rsidP="00F91094">
            <w:pPr>
              <w:spacing w:after="0" w:line="240" w:lineRule="auto"/>
              <w:jc w:val="center"/>
              <w:rPr>
                <w:rFonts w:ascii="Calibri" w:eastAsia="Times New Roman" w:hAnsi="Calibri" w:cs="Calibri"/>
                <w:color w:val="000000"/>
                <w:kern w:val="0"/>
                <w:lang w:val="tr-TR"/>
                <w14:ligatures w14:val="none"/>
              </w:rPr>
            </w:pPr>
            <w:r w:rsidRPr="00F026BD">
              <w:rPr>
                <w:rFonts w:ascii="Calibri" w:eastAsia="Times New Roman" w:hAnsi="Calibri" w:cs="Calibri"/>
                <w:color w:val="000000"/>
                <w:kern w:val="0"/>
                <w:lang w:val="tr-TR"/>
                <w14:ligatures w14:val="none"/>
              </w:rPr>
              <w:t>170.152</w:t>
            </w:r>
          </w:p>
        </w:tc>
        <w:tc>
          <w:tcPr>
            <w:tcW w:w="2688" w:type="dxa"/>
            <w:tcBorders>
              <w:top w:val="nil"/>
              <w:left w:val="nil"/>
              <w:bottom w:val="single" w:sz="4" w:space="0" w:color="auto"/>
              <w:right w:val="single" w:sz="4" w:space="0" w:color="auto"/>
            </w:tcBorders>
            <w:noWrap/>
            <w:vAlign w:val="center"/>
          </w:tcPr>
          <w:p w14:paraId="189CDD9A" w14:textId="79B7356D" w:rsidR="00F91094" w:rsidRPr="00060AC1" w:rsidRDefault="00F026BD" w:rsidP="00F91094">
            <w:pPr>
              <w:spacing w:after="0" w:line="240" w:lineRule="auto"/>
              <w:jc w:val="center"/>
              <w:rPr>
                <w:rFonts w:ascii="Calibri" w:eastAsia="Times New Roman" w:hAnsi="Calibri" w:cs="Calibri"/>
                <w:color w:val="000000"/>
                <w:kern w:val="0"/>
                <w:lang w:val="tr-TR"/>
                <w14:ligatures w14:val="none"/>
              </w:rPr>
            </w:pPr>
            <w:r w:rsidRPr="00F026BD">
              <w:rPr>
                <w:rFonts w:ascii="Calibri" w:eastAsia="Times New Roman" w:hAnsi="Calibri" w:cs="Calibri"/>
                <w:color w:val="000000"/>
                <w:kern w:val="0"/>
                <w:lang w:val="tr-TR"/>
                <w14:ligatures w14:val="none"/>
              </w:rPr>
              <w:t>531.034</w:t>
            </w:r>
          </w:p>
        </w:tc>
      </w:tr>
      <w:tr w:rsidR="00F026BD" w:rsidRPr="00060AC1" w14:paraId="43037CBD" w14:textId="77777777" w:rsidTr="00F026BD">
        <w:trPr>
          <w:trHeight w:val="769"/>
        </w:trPr>
        <w:tc>
          <w:tcPr>
            <w:tcW w:w="943" w:type="dxa"/>
            <w:tcBorders>
              <w:top w:val="nil"/>
              <w:left w:val="single" w:sz="4" w:space="0" w:color="auto"/>
              <w:bottom w:val="single" w:sz="4" w:space="0" w:color="auto"/>
              <w:right w:val="single" w:sz="4" w:space="0" w:color="auto"/>
            </w:tcBorders>
            <w:noWrap/>
            <w:vAlign w:val="center"/>
          </w:tcPr>
          <w:p w14:paraId="5031A047" w14:textId="0BE7A21D"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2024</w:t>
            </w:r>
          </w:p>
        </w:tc>
        <w:tc>
          <w:tcPr>
            <w:tcW w:w="1507" w:type="dxa"/>
            <w:tcBorders>
              <w:top w:val="nil"/>
              <w:left w:val="nil"/>
              <w:bottom w:val="single" w:sz="4" w:space="0" w:color="auto"/>
              <w:right w:val="single" w:sz="4" w:space="0" w:color="auto"/>
            </w:tcBorders>
            <w:noWrap/>
            <w:vAlign w:val="center"/>
          </w:tcPr>
          <w:p w14:paraId="1ADEB490" w14:textId="5042F55F"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316,920</w:t>
            </w:r>
          </w:p>
        </w:tc>
        <w:tc>
          <w:tcPr>
            <w:tcW w:w="1443" w:type="dxa"/>
            <w:tcBorders>
              <w:top w:val="nil"/>
              <w:left w:val="nil"/>
              <w:bottom w:val="single" w:sz="4" w:space="0" w:color="auto"/>
              <w:right w:val="single" w:sz="4" w:space="0" w:color="auto"/>
            </w:tcBorders>
            <w:noWrap/>
            <w:vAlign w:val="center"/>
          </w:tcPr>
          <w:p w14:paraId="6CC1B9F3" w14:textId="33CC1840"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255,139</w:t>
            </w:r>
          </w:p>
        </w:tc>
        <w:tc>
          <w:tcPr>
            <w:tcW w:w="2564" w:type="dxa"/>
            <w:tcBorders>
              <w:top w:val="nil"/>
              <w:left w:val="nil"/>
              <w:bottom w:val="single" w:sz="4" w:space="0" w:color="auto"/>
              <w:right w:val="single" w:sz="4" w:space="0" w:color="auto"/>
            </w:tcBorders>
            <w:noWrap/>
            <w:vAlign w:val="center"/>
          </w:tcPr>
          <w:p w14:paraId="5F077D9C" w14:textId="37CB27D1"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250.199</w:t>
            </w:r>
          </w:p>
        </w:tc>
        <w:tc>
          <w:tcPr>
            <w:tcW w:w="2688" w:type="dxa"/>
            <w:tcBorders>
              <w:top w:val="nil"/>
              <w:left w:val="nil"/>
              <w:bottom w:val="single" w:sz="4" w:space="0" w:color="auto"/>
              <w:right w:val="single" w:sz="4" w:space="0" w:color="auto"/>
            </w:tcBorders>
            <w:noWrap/>
            <w:vAlign w:val="center"/>
          </w:tcPr>
          <w:p w14:paraId="3D6ABDE3" w14:textId="07C34B3B"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767.662</w:t>
            </w:r>
          </w:p>
        </w:tc>
      </w:tr>
      <w:tr w:rsidR="00F026BD" w:rsidRPr="00060AC1" w14:paraId="3E32C929" w14:textId="77777777" w:rsidTr="00F026BD">
        <w:trPr>
          <w:trHeight w:val="769"/>
        </w:trPr>
        <w:tc>
          <w:tcPr>
            <w:tcW w:w="943" w:type="dxa"/>
            <w:tcBorders>
              <w:top w:val="nil"/>
              <w:left w:val="single" w:sz="4" w:space="0" w:color="auto"/>
              <w:bottom w:val="single" w:sz="4" w:space="0" w:color="auto"/>
              <w:right w:val="single" w:sz="4" w:space="0" w:color="auto"/>
            </w:tcBorders>
            <w:noWrap/>
            <w:vAlign w:val="center"/>
          </w:tcPr>
          <w:p w14:paraId="77D53F3D" w14:textId="6A29C2CA"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2023</w:t>
            </w:r>
          </w:p>
        </w:tc>
        <w:tc>
          <w:tcPr>
            <w:tcW w:w="1507" w:type="dxa"/>
            <w:tcBorders>
              <w:top w:val="nil"/>
              <w:left w:val="nil"/>
              <w:bottom w:val="single" w:sz="4" w:space="0" w:color="auto"/>
              <w:right w:val="single" w:sz="4" w:space="0" w:color="auto"/>
            </w:tcBorders>
            <w:noWrap/>
            <w:vAlign w:val="center"/>
          </w:tcPr>
          <w:p w14:paraId="4AE80C88" w14:textId="5F22AD9A"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317,554 </w:t>
            </w:r>
          </w:p>
        </w:tc>
        <w:tc>
          <w:tcPr>
            <w:tcW w:w="1443" w:type="dxa"/>
            <w:tcBorders>
              <w:top w:val="nil"/>
              <w:left w:val="nil"/>
              <w:bottom w:val="single" w:sz="4" w:space="0" w:color="auto"/>
              <w:right w:val="single" w:sz="4" w:space="0" w:color="auto"/>
            </w:tcBorders>
            <w:noWrap/>
            <w:vAlign w:val="center"/>
          </w:tcPr>
          <w:p w14:paraId="4335A389" w14:textId="506ACE34"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252,986 </w:t>
            </w:r>
          </w:p>
        </w:tc>
        <w:tc>
          <w:tcPr>
            <w:tcW w:w="2564" w:type="dxa"/>
            <w:tcBorders>
              <w:top w:val="nil"/>
              <w:left w:val="nil"/>
              <w:bottom w:val="single" w:sz="4" w:space="0" w:color="auto"/>
              <w:right w:val="single" w:sz="4" w:space="0" w:color="auto"/>
            </w:tcBorders>
            <w:noWrap/>
            <w:vAlign w:val="center"/>
          </w:tcPr>
          <w:p w14:paraId="7BCF8859" w14:textId="2C7571E4"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302.402 </w:t>
            </w:r>
          </w:p>
        </w:tc>
        <w:tc>
          <w:tcPr>
            <w:tcW w:w="2688" w:type="dxa"/>
            <w:tcBorders>
              <w:top w:val="nil"/>
              <w:left w:val="nil"/>
              <w:bottom w:val="single" w:sz="4" w:space="0" w:color="auto"/>
              <w:right w:val="single" w:sz="4" w:space="0" w:color="auto"/>
            </w:tcBorders>
            <w:noWrap/>
            <w:vAlign w:val="center"/>
          </w:tcPr>
          <w:p w14:paraId="63AEA668" w14:textId="309EF8DE" w:rsidR="00F026BD" w:rsidRPr="00060AC1" w:rsidRDefault="00F026BD" w:rsidP="00F026BD">
            <w:pPr>
              <w:spacing w:after="0" w:line="240" w:lineRule="auto"/>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 850.344</w:t>
            </w:r>
          </w:p>
        </w:tc>
      </w:tr>
    </w:tbl>
    <w:p w14:paraId="71364E6D" w14:textId="77777777" w:rsidR="00F91094" w:rsidRPr="00060AC1" w:rsidRDefault="00F91094">
      <w:pPr>
        <w:rPr>
          <w:lang w:val="tr-TR"/>
        </w:rPr>
      </w:pPr>
    </w:p>
    <w:p w14:paraId="3509BA87" w14:textId="5FA53097" w:rsidR="00745CFD" w:rsidRPr="00745CFD" w:rsidRDefault="00745CFD" w:rsidP="00745CFD">
      <w:pPr>
        <w:jc w:val="both"/>
        <w:rPr>
          <w:lang w:val="tr-TR"/>
        </w:rPr>
      </w:pPr>
      <w:r w:rsidRPr="00745CFD">
        <w:rPr>
          <w:lang w:val="tr-TR"/>
        </w:rPr>
        <w:t>Tablo 1</w:t>
      </w:r>
      <w:r>
        <w:rPr>
          <w:lang w:val="tr-TR"/>
        </w:rPr>
        <w:t>.</w:t>
      </w:r>
      <w:r w:rsidRPr="00745CFD">
        <w:rPr>
          <w:lang w:val="tr-TR"/>
        </w:rPr>
        <w:t xml:space="preserve"> incelendiğinde, 2023–2025 döneminde İşletme Bölümünün yerleşme göstergelerinde 2025 yılı lehine</w:t>
      </w:r>
      <w:r>
        <w:rPr>
          <w:lang w:val="tr-TR"/>
        </w:rPr>
        <w:t>, önceki yıllara göre</w:t>
      </w:r>
      <w:r w:rsidRPr="00745CFD">
        <w:rPr>
          <w:lang w:val="tr-TR"/>
        </w:rPr>
        <w:t xml:space="preserve"> belirgin bir iyileşme olduğu görülmektedir. Özellikle 2025 yılında tavan puan 336,028’e yükselmiş olup bu değer 2024’e göre yaklaşık %6, 2023’e göre ise yaklaşık %5,8 artış göstermiştir. Taban puan ise 276,589 ile 2024’e göre yaklaşık %8,4, 2023’e göre yaklaşık %9,3 oranında yükselmiştir. Benzer biçimde, ilk yerleşen öğrencinin başarı sırası 170.152’ye gerileyerek 2024’e göre yaklaşık %32,0, 2023’e göre ise yaklaşık %43,7 oranında iyileşmiştir. Son yerleşen öğrencinin başarı sırası da 531.034’e gerileyerek 2024’e göre yaklaşık %30,8, 2023’e göre ise yaklaşık %37,6 oranında iyileşme göstermiştir. Bu görünüm, bölümün hem üst dilimde hem de genel yerleşme bandında daha güçlü bir öğrenci profiline ulaştığını göstermektedir.</w:t>
      </w:r>
    </w:p>
    <w:p w14:paraId="5145A4B5" w14:textId="77777777" w:rsidR="00745CFD" w:rsidRPr="00745CFD" w:rsidRDefault="00745CFD" w:rsidP="00745CFD">
      <w:pPr>
        <w:jc w:val="both"/>
        <w:rPr>
          <w:lang w:val="tr-TR"/>
        </w:rPr>
      </w:pPr>
      <w:r w:rsidRPr="00745CFD">
        <w:rPr>
          <w:lang w:val="tr-TR"/>
        </w:rPr>
        <w:t>2024 yılı verileri 2023’e göre sınırlı bir iyileşmeye işaret ederken, asıl dikkat çekici değişim 2025 yılında ortaya çıkmıştır. 2023’te son yerleşen başarı sırası 850.344 iken, bu değerin 2025’te 531.034’e yükselmesi oldukça belirgin bir toparlanmaya işaret etmektedir. Bu görünüm, bölümün tercih edilirliğinin arttığını ve yerleşen öğrenci kitlesinin akademik başarı göstergeleri bakımından önceki yıllara göre daha güçlü bir düzeye ulaştığını düşündürmektedir.</w:t>
      </w:r>
    </w:p>
    <w:p w14:paraId="3CCAC521" w14:textId="4DA94DC4" w:rsidR="005C57B6" w:rsidRPr="00060AC1" w:rsidRDefault="005C57B6" w:rsidP="005C57B6">
      <w:pPr>
        <w:jc w:val="both"/>
        <w:rPr>
          <w:b/>
          <w:bCs/>
          <w:lang w:val="tr-TR"/>
        </w:rPr>
      </w:pPr>
      <w:r w:rsidRPr="00060AC1">
        <w:rPr>
          <w:b/>
          <w:bCs/>
          <w:lang w:val="tr-TR"/>
        </w:rPr>
        <w:lastRenderedPageBreak/>
        <w:t>Tablo 2.</w:t>
      </w:r>
    </w:p>
    <w:tbl>
      <w:tblPr>
        <w:tblStyle w:val="TabloKlavuzu"/>
        <w:tblpPr w:leftFromText="141" w:rightFromText="141" w:vertAnchor="text" w:horzAnchor="margin" w:tblpY="-40"/>
        <w:tblW w:w="9058" w:type="dxa"/>
        <w:tblLook w:val="04A0" w:firstRow="1" w:lastRow="0" w:firstColumn="1" w:lastColumn="0" w:noHBand="0" w:noVBand="1"/>
      </w:tblPr>
      <w:tblGrid>
        <w:gridCol w:w="2696"/>
        <w:gridCol w:w="2376"/>
        <w:gridCol w:w="3986"/>
      </w:tblGrid>
      <w:tr w:rsidR="005C57B6" w:rsidRPr="00060AC1" w14:paraId="77238653" w14:textId="77777777" w:rsidTr="005C57B6">
        <w:trPr>
          <w:trHeight w:val="267"/>
        </w:trPr>
        <w:tc>
          <w:tcPr>
            <w:tcW w:w="2696" w:type="dxa"/>
            <w:noWrap/>
            <w:hideMark/>
          </w:tcPr>
          <w:p w14:paraId="62929372"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Yerleşenlerin Cinsiyet Dağılımı</w:t>
            </w:r>
          </w:p>
        </w:tc>
        <w:tc>
          <w:tcPr>
            <w:tcW w:w="2376" w:type="dxa"/>
            <w:noWrap/>
            <w:hideMark/>
          </w:tcPr>
          <w:p w14:paraId="2C2F6C95"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Sayı</w:t>
            </w:r>
          </w:p>
        </w:tc>
        <w:tc>
          <w:tcPr>
            <w:tcW w:w="3986" w:type="dxa"/>
            <w:noWrap/>
            <w:hideMark/>
          </w:tcPr>
          <w:p w14:paraId="326566BF"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 Oran</w:t>
            </w:r>
          </w:p>
        </w:tc>
      </w:tr>
      <w:tr w:rsidR="005C57B6" w:rsidRPr="00060AC1" w14:paraId="3100C68E" w14:textId="77777777" w:rsidTr="005C57B6">
        <w:trPr>
          <w:trHeight w:val="267"/>
        </w:trPr>
        <w:tc>
          <w:tcPr>
            <w:tcW w:w="2696" w:type="dxa"/>
            <w:noWrap/>
            <w:hideMark/>
          </w:tcPr>
          <w:p w14:paraId="28E50F4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Kız</w:t>
            </w:r>
          </w:p>
        </w:tc>
        <w:tc>
          <w:tcPr>
            <w:tcW w:w="2376" w:type="dxa"/>
            <w:noWrap/>
            <w:hideMark/>
          </w:tcPr>
          <w:p w14:paraId="768894DF" w14:textId="375166A5" w:rsidR="005C57B6" w:rsidRPr="00060AC1" w:rsidRDefault="00745CFD" w:rsidP="005C57B6">
            <w:pPr>
              <w:jc w:val="center"/>
              <w:rPr>
                <w:rFonts w:ascii="Calibri" w:eastAsia="Times New Roman" w:hAnsi="Calibri" w:cs="Calibri"/>
                <w:color w:val="000000"/>
                <w:kern w:val="0"/>
                <w:lang w:val="tr-TR"/>
                <w14:ligatures w14:val="none"/>
              </w:rPr>
            </w:pPr>
            <w:r>
              <w:rPr>
                <w:rFonts w:ascii="Calibri" w:eastAsia="Times New Roman" w:hAnsi="Calibri" w:cs="Calibri"/>
                <w:color w:val="000000"/>
                <w:kern w:val="0"/>
                <w:lang w:val="tr-TR"/>
                <w14:ligatures w14:val="none"/>
              </w:rPr>
              <w:t>35</w:t>
            </w:r>
          </w:p>
        </w:tc>
        <w:tc>
          <w:tcPr>
            <w:tcW w:w="3986" w:type="dxa"/>
            <w:noWrap/>
            <w:hideMark/>
          </w:tcPr>
          <w:p w14:paraId="70C42D0A" w14:textId="04F98EB3"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lang w:val="tr-TR"/>
                <w14:ligatures w14:val="none"/>
              </w:rPr>
              <w:t>67,3</w:t>
            </w:r>
            <w:r>
              <w:rPr>
                <w:rFonts w:ascii="Calibri" w:eastAsia="Times New Roman" w:hAnsi="Calibri" w:cs="Calibri"/>
                <w:color w:val="000000"/>
                <w:kern w:val="0"/>
                <w:lang w:val="tr-TR"/>
                <w14:ligatures w14:val="none"/>
              </w:rPr>
              <w:t>0</w:t>
            </w:r>
            <w:r w:rsidR="005C57B6" w:rsidRPr="00060AC1">
              <w:rPr>
                <w:rFonts w:ascii="Calibri" w:eastAsia="Times New Roman" w:hAnsi="Calibri" w:cs="Calibri"/>
                <w:color w:val="000000"/>
                <w:kern w:val="0"/>
                <w:lang w:val="tr-TR"/>
                <w14:ligatures w14:val="none"/>
              </w:rPr>
              <w:t>%</w:t>
            </w:r>
          </w:p>
        </w:tc>
      </w:tr>
      <w:tr w:rsidR="005C57B6" w:rsidRPr="00060AC1" w14:paraId="41027994" w14:textId="77777777" w:rsidTr="005C57B6">
        <w:trPr>
          <w:trHeight w:val="267"/>
        </w:trPr>
        <w:tc>
          <w:tcPr>
            <w:tcW w:w="2696" w:type="dxa"/>
            <w:noWrap/>
            <w:hideMark/>
          </w:tcPr>
          <w:p w14:paraId="05CDFB0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Erkek</w:t>
            </w:r>
          </w:p>
        </w:tc>
        <w:tc>
          <w:tcPr>
            <w:tcW w:w="2376" w:type="dxa"/>
            <w:noWrap/>
            <w:hideMark/>
          </w:tcPr>
          <w:p w14:paraId="4A24BD72" w14:textId="6EB9BD45" w:rsidR="005C57B6" w:rsidRPr="00060AC1" w:rsidRDefault="00745CFD" w:rsidP="005C57B6">
            <w:pPr>
              <w:jc w:val="center"/>
              <w:rPr>
                <w:rFonts w:ascii="Calibri" w:eastAsia="Times New Roman" w:hAnsi="Calibri" w:cs="Calibri"/>
                <w:color w:val="000000"/>
                <w:kern w:val="0"/>
                <w:lang w:val="tr-TR"/>
                <w14:ligatures w14:val="none"/>
              </w:rPr>
            </w:pPr>
            <w:r>
              <w:rPr>
                <w:rFonts w:ascii="Calibri" w:eastAsia="Times New Roman" w:hAnsi="Calibri" w:cs="Calibri"/>
                <w:color w:val="000000"/>
                <w:kern w:val="0"/>
                <w:lang w:val="tr-TR"/>
                <w14:ligatures w14:val="none"/>
              </w:rPr>
              <w:t>17</w:t>
            </w:r>
          </w:p>
        </w:tc>
        <w:tc>
          <w:tcPr>
            <w:tcW w:w="3986" w:type="dxa"/>
            <w:noWrap/>
            <w:hideMark/>
          </w:tcPr>
          <w:p w14:paraId="7E84A031" w14:textId="0E4A9C65"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lang w:val="tr-TR"/>
                <w14:ligatures w14:val="none"/>
              </w:rPr>
              <w:t>32,7</w:t>
            </w:r>
            <w:r>
              <w:rPr>
                <w:rFonts w:ascii="Calibri" w:eastAsia="Times New Roman" w:hAnsi="Calibri" w:cs="Calibri"/>
                <w:color w:val="000000"/>
                <w:kern w:val="0"/>
                <w:lang w:val="tr-TR"/>
                <w14:ligatures w14:val="none"/>
              </w:rPr>
              <w:t>0</w:t>
            </w:r>
            <w:r w:rsidR="005C57B6" w:rsidRPr="00060AC1">
              <w:rPr>
                <w:rFonts w:ascii="Calibri" w:eastAsia="Times New Roman" w:hAnsi="Calibri" w:cs="Calibri"/>
                <w:color w:val="000000"/>
                <w:kern w:val="0"/>
                <w:lang w:val="tr-TR"/>
                <w14:ligatures w14:val="none"/>
              </w:rPr>
              <w:t>%</w:t>
            </w:r>
          </w:p>
        </w:tc>
      </w:tr>
    </w:tbl>
    <w:p w14:paraId="4BA9754E" w14:textId="77777777" w:rsidR="005C57B6" w:rsidRPr="00060AC1" w:rsidRDefault="005C57B6" w:rsidP="005C57B6">
      <w:pPr>
        <w:jc w:val="both"/>
        <w:rPr>
          <w:lang w:val="tr-TR"/>
        </w:rPr>
      </w:pPr>
    </w:p>
    <w:p w14:paraId="32BC98EB" w14:textId="77777777" w:rsidR="00760969" w:rsidRPr="00760969" w:rsidRDefault="00760969" w:rsidP="00760969">
      <w:pPr>
        <w:jc w:val="both"/>
        <w:rPr>
          <w:lang w:val="tr-TR"/>
        </w:rPr>
      </w:pPr>
      <w:r w:rsidRPr="00760969">
        <w:rPr>
          <w:lang w:val="tr-TR"/>
        </w:rPr>
        <w:t>Tablo 2 incelendiğinde, 2025 yılında İşletme Bölümüne yerleşen öğrenciler içinde kız öğrencilerin 35 kişi ile %67,3’lük, erkek öğrencilerin ise 17 kişi ile %32,7’lik paya sahip olduğu görülmektedir. Bu dağılım, bölümün 2025 yılında da kız öğrenciler tarafından daha yüksek oranda tercih edildiğini göstermektedir.</w:t>
      </w:r>
    </w:p>
    <w:p w14:paraId="17093D8D" w14:textId="77777777" w:rsidR="00760969" w:rsidRPr="00760969" w:rsidRDefault="00760969" w:rsidP="00760969">
      <w:pPr>
        <w:jc w:val="both"/>
        <w:rPr>
          <w:lang w:val="tr-TR"/>
        </w:rPr>
      </w:pPr>
      <w:r w:rsidRPr="00760969">
        <w:rPr>
          <w:lang w:val="tr-TR"/>
        </w:rPr>
        <w:t>2024 yılı verileriyle karşılaştırıldığında da benzer eğilimin sürdüğü anlaşılmaktadır. Nitekim 2024 yılında kız öğrencilerin oranı %61,8 iken 2025 yılında bu oran %67,3’e yükselmiş; erkek öğrencilerin oranı ise %38,2’den %32,7’ye gerilemiştir. Buna göre kız öğrenci oranında 5,5 yüzde puanlık bir artış, erkek öğrenci oranında ise 5,5 yüzde puanlık bir azalış gerçekleşmiştir. Sayı olarak bakıldığında da kız öğrenci sayısı 42’den 35’e düşmüş olmakla birlikte, toplam yerleşen sayısındaki azalma nedeniyle kızların toplam içindeki ağırlığı artmıştır.</w:t>
      </w:r>
    </w:p>
    <w:p w14:paraId="764AD0D0" w14:textId="6B04E1BA" w:rsidR="005C57B6" w:rsidRDefault="00760969" w:rsidP="00760969">
      <w:pPr>
        <w:jc w:val="both"/>
        <w:rPr>
          <w:lang w:val="tr-TR"/>
        </w:rPr>
      </w:pPr>
      <w:r w:rsidRPr="00760969">
        <w:rPr>
          <w:lang w:val="tr-TR"/>
        </w:rPr>
        <w:t>Bu görünüm, bölümün cinsiyet kompozisyonunda kız ağırlıklı yapının 2025 yılında da korunduğunu ve hatta bir miktar daha belirgin hale geldiğini göstermektedir.</w:t>
      </w:r>
    </w:p>
    <w:p w14:paraId="06FB8D1E" w14:textId="3CC84E3B" w:rsidR="00760969" w:rsidRPr="00060AC1" w:rsidRDefault="00760969" w:rsidP="00760969">
      <w:pPr>
        <w:jc w:val="both"/>
        <w:rPr>
          <w:lang w:val="tr-TR"/>
        </w:rPr>
      </w:pPr>
      <w:r>
        <w:rPr>
          <w:lang w:val="tr-TR"/>
        </w:rPr>
        <w:t xml:space="preserve">Sonuç olarak, </w:t>
      </w:r>
      <w:r w:rsidRPr="00760969">
        <w:rPr>
          <w:lang w:val="tr-TR"/>
        </w:rPr>
        <w:t>2025 yılı yerleşen öğrenci verileri, kız öğrencilerin bölüm içindeki ağırlığının erkek öğrencilere kıyasla daha yüksek olduğunu göstermektedir. 2024 yılı ile karşılaştırıldığında kız öğrenci oranında artış, erkek öğrenci oranında ise azalış gözlenmiştir. Bu çerçevede, bölümün cinsiyet dağılımında kız öğrenciler lehine olan yapının sürdüğü söylenebilir.</w:t>
      </w:r>
    </w:p>
    <w:tbl>
      <w:tblPr>
        <w:tblStyle w:val="TabloKlavuzu"/>
        <w:tblpPr w:leftFromText="141" w:rightFromText="141" w:vertAnchor="text" w:horzAnchor="margin" w:tblpY="399"/>
        <w:tblW w:w="5291" w:type="pct"/>
        <w:tblLook w:val="04A0" w:firstRow="1" w:lastRow="0" w:firstColumn="1" w:lastColumn="0" w:noHBand="0" w:noVBand="1"/>
      </w:tblPr>
      <w:tblGrid>
        <w:gridCol w:w="7641"/>
        <w:gridCol w:w="1948"/>
      </w:tblGrid>
      <w:tr w:rsidR="005C57B6" w:rsidRPr="00060AC1" w14:paraId="3EAFB581" w14:textId="77777777" w:rsidTr="005C57B6">
        <w:trPr>
          <w:trHeight w:val="87"/>
        </w:trPr>
        <w:tc>
          <w:tcPr>
            <w:tcW w:w="5000" w:type="pct"/>
            <w:gridSpan w:val="2"/>
            <w:noWrap/>
            <w:hideMark/>
          </w:tcPr>
          <w:p w14:paraId="070DFD01" w14:textId="77777777" w:rsidR="005C57B6" w:rsidRPr="00060AC1" w:rsidRDefault="005C57B6" w:rsidP="005C57B6">
            <w:pPr>
              <w:jc w:val="center"/>
              <w:rPr>
                <w:rFonts w:ascii="Calibri" w:eastAsia="Times New Roman" w:hAnsi="Calibri" w:cs="Calibri"/>
                <w:b/>
                <w:bCs/>
                <w:color w:val="000000"/>
                <w:kern w:val="0"/>
                <w:lang w:val="tr-TR"/>
                <w14:ligatures w14:val="none"/>
              </w:rPr>
            </w:pPr>
            <w:r w:rsidRPr="00060AC1">
              <w:rPr>
                <w:rFonts w:ascii="Calibri" w:eastAsia="Times New Roman" w:hAnsi="Calibri" w:cs="Calibri"/>
                <w:b/>
                <w:bCs/>
                <w:color w:val="000000"/>
                <w:kern w:val="0"/>
                <w:lang w:val="tr-TR"/>
                <w14:ligatures w14:val="none"/>
              </w:rPr>
              <w:t>Yerleşenlerin YKS Net Ortalamaları</w:t>
            </w:r>
          </w:p>
        </w:tc>
      </w:tr>
      <w:tr w:rsidR="005C57B6" w:rsidRPr="00060AC1" w14:paraId="3FF93DC8" w14:textId="77777777" w:rsidTr="005C57B6">
        <w:trPr>
          <w:trHeight w:val="178"/>
        </w:trPr>
        <w:tc>
          <w:tcPr>
            <w:tcW w:w="3984" w:type="pct"/>
            <w:hideMark/>
          </w:tcPr>
          <w:p w14:paraId="75D2DACB"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Ortalama OBP</w:t>
            </w:r>
          </w:p>
        </w:tc>
        <w:tc>
          <w:tcPr>
            <w:tcW w:w="1016" w:type="pct"/>
            <w:hideMark/>
          </w:tcPr>
          <w:p w14:paraId="3520A225" w14:textId="29259D2F"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409,195</w:t>
            </w:r>
          </w:p>
        </w:tc>
      </w:tr>
      <w:tr w:rsidR="005C57B6" w:rsidRPr="00060AC1" w14:paraId="15DD73F4" w14:textId="77777777" w:rsidTr="005C57B6">
        <w:trPr>
          <w:trHeight w:val="87"/>
        </w:trPr>
        <w:tc>
          <w:tcPr>
            <w:tcW w:w="3984" w:type="pct"/>
            <w:hideMark/>
          </w:tcPr>
          <w:p w14:paraId="57C4016A"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Yerleşen</w:t>
            </w:r>
          </w:p>
        </w:tc>
        <w:tc>
          <w:tcPr>
            <w:tcW w:w="1016" w:type="pct"/>
            <w:hideMark/>
          </w:tcPr>
          <w:p w14:paraId="15771E98" w14:textId="58F1A3F3"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52</w:t>
            </w:r>
          </w:p>
        </w:tc>
      </w:tr>
      <w:tr w:rsidR="005C57B6" w:rsidRPr="00060AC1" w14:paraId="115DB357" w14:textId="77777777" w:rsidTr="005C57B6">
        <w:trPr>
          <w:trHeight w:val="269"/>
        </w:trPr>
        <w:tc>
          <w:tcPr>
            <w:tcW w:w="3984" w:type="pct"/>
            <w:hideMark/>
          </w:tcPr>
          <w:p w14:paraId="6BB61D19"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Temel Matematik (40 soruda)</w:t>
            </w:r>
          </w:p>
        </w:tc>
        <w:tc>
          <w:tcPr>
            <w:tcW w:w="1016" w:type="pct"/>
            <w:hideMark/>
          </w:tcPr>
          <w:p w14:paraId="44873088" w14:textId="2E60133E"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5,6</w:t>
            </w:r>
          </w:p>
        </w:tc>
      </w:tr>
      <w:tr w:rsidR="005C57B6" w:rsidRPr="00060AC1" w14:paraId="57E9A1BA" w14:textId="77777777" w:rsidTr="005C57B6">
        <w:trPr>
          <w:trHeight w:val="269"/>
        </w:trPr>
        <w:tc>
          <w:tcPr>
            <w:tcW w:w="3984" w:type="pct"/>
            <w:hideMark/>
          </w:tcPr>
          <w:p w14:paraId="52B5D397"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Fen Bilimleri (20 soruda)</w:t>
            </w:r>
          </w:p>
        </w:tc>
        <w:tc>
          <w:tcPr>
            <w:tcW w:w="1016" w:type="pct"/>
            <w:hideMark/>
          </w:tcPr>
          <w:p w14:paraId="24833088" w14:textId="4147ECB7"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1,7</w:t>
            </w:r>
          </w:p>
        </w:tc>
      </w:tr>
      <w:tr w:rsidR="005C57B6" w:rsidRPr="00060AC1" w14:paraId="11980215" w14:textId="77777777" w:rsidTr="005C57B6">
        <w:trPr>
          <w:trHeight w:val="178"/>
        </w:trPr>
        <w:tc>
          <w:tcPr>
            <w:tcW w:w="3984" w:type="pct"/>
            <w:hideMark/>
          </w:tcPr>
          <w:p w14:paraId="38EE51FC"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Türkçe (40 soruda)</w:t>
            </w:r>
          </w:p>
        </w:tc>
        <w:tc>
          <w:tcPr>
            <w:tcW w:w="1016" w:type="pct"/>
            <w:hideMark/>
          </w:tcPr>
          <w:p w14:paraId="29CBFC3A" w14:textId="52F93714"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25,0</w:t>
            </w:r>
          </w:p>
        </w:tc>
      </w:tr>
      <w:tr w:rsidR="005C57B6" w:rsidRPr="00060AC1" w14:paraId="39379DC8" w14:textId="77777777" w:rsidTr="005C57B6">
        <w:trPr>
          <w:trHeight w:val="269"/>
        </w:trPr>
        <w:tc>
          <w:tcPr>
            <w:tcW w:w="3984" w:type="pct"/>
            <w:hideMark/>
          </w:tcPr>
          <w:p w14:paraId="0F949E46"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TYT Sosyal Bilimler (20 soruda)</w:t>
            </w:r>
          </w:p>
        </w:tc>
        <w:tc>
          <w:tcPr>
            <w:tcW w:w="1016" w:type="pct"/>
            <w:hideMark/>
          </w:tcPr>
          <w:p w14:paraId="53889136" w14:textId="7B420B51"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11,2</w:t>
            </w:r>
          </w:p>
        </w:tc>
      </w:tr>
      <w:tr w:rsidR="005C57B6" w:rsidRPr="00060AC1" w14:paraId="60CEEA0F" w14:textId="77777777" w:rsidTr="005C57B6">
        <w:trPr>
          <w:trHeight w:val="358"/>
        </w:trPr>
        <w:tc>
          <w:tcPr>
            <w:tcW w:w="3984" w:type="pct"/>
            <w:hideMark/>
          </w:tcPr>
          <w:p w14:paraId="25ACE157"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Türk Dili ve Edebiyatı (24 soruda)</w:t>
            </w:r>
          </w:p>
        </w:tc>
        <w:tc>
          <w:tcPr>
            <w:tcW w:w="1016" w:type="pct"/>
            <w:hideMark/>
          </w:tcPr>
          <w:p w14:paraId="744D9EB8" w14:textId="2B24DD4C"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11,1</w:t>
            </w:r>
          </w:p>
        </w:tc>
      </w:tr>
      <w:tr w:rsidR="005C57B6" w:rsidRPr="00060AC1" w14:paraId="1C553A53" w14:textId="77777777" w:rsidTr="005C57B6">
        <w:trPr>
          <w:trHeight w:val="269"/>
        </w:trPr>
        <w:tc>
          <w:tcPr>
            <w:tcW w:w="3984" w:type="pct"/>
            <w:hideMark/>
          </w:tcPr>
          <w:p w14:paraId="7CF62CF8"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Matematik (40 soruda)</w:t>
            </w:r>
          </w:p>
        </w:tc>
        <w:tc>
          <w:tcPr>
            <w:tcW w:w="1016" w:type="pct"/>
            <w:hideMark/>
          </w:tcPr>
          <w:p w14:paraId="0B28190A" w14:textId="306DA1D0"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3,8</w:t>
            </w:r>
          </w:p>
        </w:tc>
      </w:tr>
      <w:tr w:rsidR="005C57B6" w:rsidRPr="00060AC1" w14:paraId="6467DED6" w14:textId="77777777" w:rsidTr="005C57B6">
        <w:trPr>
          <w:trHeight w:val="269"/>
        </w:trPr>
        <w:tc>
          <w:tcPr>
            <w:tcW w:w="3984" w:type="pct"/>
            <w:hideMark/>
          </w:tcPr>
          <w:p w14:paraId="0CAB43A5"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Coğrafya-1 (6 soruda)</w:t>
            </w:r>
          </w:p>
        </w:tc>
        <w:tc>
          <w:tcPr>
            <w:tcW w:w="1016" w:type="pct"/>
            <w:hideMark/>
          </w:tcPr>
          <w:p w14:paraId="214EBAFA" w14:textId="5CFCB7D6"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2,1</w:t>
            </w:r>
          </w:p>
        </w:tc>
      </w:tr>
      <w:tr w:rsidR="005C57B6" w:rsidRPr="00060AC1" w14:paraId="0A5FB6B7" w14:textId="77777777" w:rsidTr="005C57B6">
        <w:trPr>
          <w:trHeight w:val="178"/>
        </w:trPr>
        <w:tc>
          <w:tcPr>
            <w:tcW w:w="3984" w:type="pct"/>
            <w:hideMark/>
          </w:tcPr>
          <w:p w14:paraId="7FDCA5A9" w14:textId="77777777" w:rsidR="005C57B6" w:rsidRPr="00060AC1" w:rsidRDefault="005C57B6" w:rsidP="005C57B6">
            <w:pPr>
              <w:jc w:val="center"/>
              <w:rPr>
                <w:rFonts w:ascii="Calibri" w:eastAsia="Times New Roman" w:hAnsi="Calibri" w:cs="Calibri"/>
                <w:color w:val="000000"/>
                <w:kern w:val="0"/>
                <w:lang w:val="tr-TR"/>
                <w14:ligatures w14:val="none"/>
              </w:rPr>
            </w:pPr>
            <w:r w:rsidRPr="00060AC1">
              <w:rPr>
                <w:rFonts w:ascii="Calibri" w:eastAsia="Times New Roman" w:hAnsi="Calibri" w:cs="Calibri"/>
                <w:color w:val="000000"/>
                <w:kern w:val="0"/>
                <w:lang w:val="tr-TR"/>
                <w14:ligatures w14:val="none"/>
              </w:rPr>
              <w:t>AYT Tarih-1 (10 soruda)</w:t>
            </w:r>
          </w:p>
        </w:tc>
        <w:tc>
          <w:tcPr>
            <w:tcW w:w="1016" w:type="pct"/>
            <w:hideMark/>
          </w:tcPr>
          <w:p w14:paraId="4ECC3024" w14:textId="51A84C72" w:rsidR="005C57B6" w:rsidRPr="00060AC1" w:rsidRDefault="00745CFD" w:rsidP="005C57B6">
            <w:pPr>
              <w:jc w:val="center"/>
              <w:rPr>
                <w:rFonts w:ascii="Calibri" w:eastAsia="Times New Roman" w:hAnsi="Calibri" w:cs="Calibri"/>
                <w:color w:val="000000"/>
                <w:kern w:val="0"/>
                <w:lang w:val="tr-TR"/>
                <w14:ligatures w14:val="none"/>
              </w:rPr>
            </w:pPr>
            <w:r w:rsidRPr="00745CFD">
              <w:rPr>
                <w:rFonts w:ascii="Calibri" w:eastAsia="Times New Roman" w:hAnsi="Calibri" w:cs="Calibri"/>
                <w:color w:val="000000"/>
                <w:kern w:val="0"/>
                <w14:ligatures w14:val="none"/>
              </w:rPr>
              <w:t>3,4</w:t>
            </w:r>
          </w:p>
        </w:tc>
      </w:tr>
    </w:tbl>
    <w:p w14:paraId="388C7F2E" w14:textId="77A3E25F" w:rsidR="00F91094" w:rsidRPr="00060AC1" w:rsidRDefault="005C57B6" w:rsidP="005C57B6">
      <w:pPr>
        <w:jc w:val="both"/>
        <w:rPr>
          <w:rFonts w:ascii="Calibri" w:eastAsia="Times New Roman" w:hAnsi="Calibri" w:cs="Calibri"/>
          <w:b/>
          <w:bCs/>
          <w:color w:val="000000"/>
          <w:kern w:val="0"/>
          <w:lang w:val="tr-TR"/>
          <w14:ligatures w14:val="none"/>
        </w:rPr>
      </w:pPr>
      <w:r w:rsidRPr="00060AC1">
        <w:rPr>
          <w:b/>
          <w:bCs/>
          <w:lang w:val="tr-TR"/>
        </w:rPr>
        <w:t>Tablo 3.</w:t>
      </w:r>
    </w:p>
    <w:p w14:paraId="60B4D099" w14:textId="77777777" w:rsidR="005C57B6" w:rsidRDefault="005C57B6" w:rsidP="005C57B6">
      <w:pPr>
        <w:jc w:val="both"/>
        <w:rPr>
          <w:lang w:val="tr-TR"/>
        </w:rPr>
      </w:pPr>
    </w:p>
    <w:p w14:paraId="12A1462B" w14:textId="77777777" w:rsidR="00760969" w:rsidRPr="00760969" w:rsidRDefault="00760969" w:rsidP="00760969">
      <w:pPr>
        <w:jc w:val="both"/>
        <w:rPr>
          <w:lang w:val="tr-TR"/>
        </w:rPr>
      </w:pPr>
      <w:r w:rsidRPr="00760969">
        <w:rPr>
          <w:lang w:val="tr-TR"/>
        </w:rPr>
        <w:t xml:space="preserve">Tablo 3’e göre 2025 yılında İşletme Bölümüne yerleşen 52 öğrencinin YKS performansı incelendiğinde, genel profilin sözel testlerde daha güçlü, sayısal testlerde ise görece </w:t>
      </w:r>
      <w:r w:rsidRPr="00760969">
        <w:rPr>
          <w:lang w:val="tr-TR"/>
        </w:rPr>
        <w:lastRenderedPageBreak/>
        <w:t xml:space="preserve">sınırlı olduğu görülmektedir. Ortalama </w:t>
      </w:r>
      <w:proofErr w:type="spellStart"/>
      <w:r w:rsidRPr="00760969">
        <w:rPr>
          <w:lang w:val="tr-TR"/>
        </w:rPr>
        <w:t>OBP’nin</w:t>
      </w:r>
      <w:proofErr w:type="spellEnd"/>
      <w:r w:rsidRPr="00760969">
        <w:rPr>
          <w:lang w:val="tr-TR"/>
        </w:rPr>
        <w:t xml:space="preserve"> 409,195 düzeyinde gerçekleşmesi, öğrencilerin ortaöğretim başarı puanları bakımından belirli bir akademik tabana sahip olduğunu göstermektedir. TYT oturumunda en yüksek ortalama 25,0 net ile Türkçe testinde elde edilmiştir. Bu değer, 40 soruda yaklaşık %62,5 başarı düzeyine karşılık gelmektedir. TYT Sosyal Bilimler ortalaması 11,2 net olup 20 soruda yaklaşık %56,0’lık bir başarıya işaret etmektedir. Buna karşılık TYT Temel Matematik ortalaması 5,6 net ile 40 soruda yalnızca %14,0; TYT Fen Bilimleri ortalaması ise 1,7 net ile 20 soruda %8,5 düzeyinde kalmıştır. Bu görünüm, öğrencilerin temel yeterlilik alanlarında özellikle sözel ve yorumlama becerilerinde daha güçlü, nicel ve fen temelli alanlarda ise daha zayıf bir performans sergilediğini göstermektedir.</w:t>
      </w:r>
    </w:p>
    <w:p w14:paraId="3677593C" w14:textId="77777777" w:rsidR="00760969" w:rsidRPr="00760969" w:rsidRDefault="00760969" w:rsidP="00760969">
      <w:pPr>
        <w:jc w:val="both"/>
        <w:rPr>
          <w:lang w:val="tr-TR"/>
        </w:rPr>
      </w:pPr>
      <w:r w:rsidRPr="00760969">
        <w:rPr>
          <w:lang w:val="tr-TR"/>
        </w:rPr>
        <w:t>AYT sonuçları da benzer bir yapıya işaret etmektedir. AYT Türk Dili ve Edebiyatı ortalaması 11,1 net ile 24 soruda yaklaşık %46,3’lük bir başarı düzeyine ulaşırken, AYT Tarih-1 ortalaması 3,4 net ile 10 soruda %34,0; AYT Coğrafya-1 ortalaması 2,1 net ile 6 soruda %35,0 düzeyinde gerçekleşmiştir. Buna karşılık AYT Matematik ortalaması 3,8 net olup 40 soruda yalnızca %9,5’lik bir başarı oranına karşılık gelmektedir. Dolayısıyla 2025 yılı verileri, bölüme yerleşen öğrencilerin özellikle Türkçe, edebiyat ve sosyal alanlarda daha yüksek; matematik ve fen alanlarında ise daha düşük net ortalamalarına sahip olduğunu açık biçimde ortaya koymaktadır. Başka bir ifadeyle, öğrenci profilinin “sözelde tutunan, sayısalda zorlanan” bir desen sergilediği söylenebilir.</w:t>
      </w:r>
    </w:p>
    <w:p w14:paraId="755192F0" w14:textId="77777777" w:rsidR="00760969" w:rsidRPr="00760969" w:rsidRDefault="00760969" w:rsidP="00760969">
      <w:pPr>
        <w:jc w:val="both"/>
        <w:rPr>
          <w:lang w:val="tr-TR"/>
        </w:rPr>
      </w:pPr>
      <w:r w:rsidRPr="00760969">
        <w:rPr>
          <w:lang w:val="tr-TR"/>
        </w:rPr>
        <w:t>2024 yılı ile karşılaştırıldığında ise 2025 verilerinde dikkat çekici bir iyileşme görülmektedir. Ortalama OBP 390,328’den 409,195’e yükselmiş, bu da yaklaşık %4,8’lik bir artışa karşılık gelmiştir. TYT Temel Matematik ortalaması 5,3’ten 5,6’ya çıkarak yaklaşık %5,7 oranında artmıştır. TYT Fen Bilimleri ortalaması 1,0’dan 1,7’ye yükselmiş ve yaklaşık %70,0 gibi oldukça güçlü bir artış göstermiştir. TYT Türkçe ortalaması 20,4’ten 25,0’a çıkarak yaklaşık %22,5; TYT Sosyal Bilimler ortalaması ise 9,2’den 11,2’ye yükselerek yaklaşık %21,7 oranında artmıştır.</w:t>
      </w:r>
    </w:p>
    <w:p w14:paraId="04372D26" w14:textId="156A7281" w:rsidR="00760969" w:rsidRPr="00760969" w:rsidRDefault="00760969" w:rsidP="00760969">
      <w:pPr>
        <w:jc w:val="both"/>
        <w:rPr>
          <w:lang w:val="tr-TR"/>
        </w:rPr>
      </w:pPr>
      <w:r w:rsidRPr="00760969">
        <w:rPr>
          <w:lang w:val="tr-TR"/>
        </w:rPr>
        <w:t>AYT testlerinde de genel olarak olumlu bir tablo bulunmaktadır. AYT Türk Dili ve Edebiyatı ortalaması 8,6’dan 11,1’e çıkarak yaklaşık %29,1 artmış; AYT Matematik ortalaması 2,0’dan 3,8’e yükselerek yaklaşık %90,0 ile en dikkat çekici artışlardan birini göstermiştir. AYT Tarih-1 ortalaması 3,1’den 3,4’e çıkarak yaklaşık %9,7 oranında artmıştır. Buna karşılık AYT Coğrafya-1 ortalaması 2,7’den 2,1’e gerilemiş</w:t>
      </w:r>
      <w:r>
        <w:rPr>
          <w:lang w:val="tr-TR"/>
        </w:rPr>
        <w:t>tir</w:t>
      </w:r>
      <w:r w:rsidRPr="00760969">
        <w:rPr>
          <w:lang w:val="tr-TR"/>
        </w:rPr>
        <w:t>. Bu yönüyle 2025 yılı, neredeyse tüm testlerde 2024’e göre daha güçlü bir performans sergilerken, tek istisna coğrafya alanı olmuştur.</w:t>
      </w:r>
    </w:p>
    <w:p w14:paraId="5FF7EE33" w14:textId="1F2A5773" w:rsidR="00760969" w:rsidRPr="00060AC1" w:rsidRDefault="00760969" w:rsidP="00760969">
      <w:pPr>
        <w:jc w:val="both"/>
        <w:rPr>
          <w:lang w:val="tr-TR"/>
        </w:rPr>
      </w:pPr>
      <w:r w:rsidRPr="00760969">
        <w:rPr>
          <w:lang w:val="tr-TR"/>
        </w:rPr>
        <w:t xml:space="preserve">Genel olarak değerlendirildiğinde, 2025 yılı verileri 2024’e kıyasla daha nitelikli bir öğrenci profiline işaret etmektedir. Özellikle Türkçe, sosyal bilimler, edebiyat ve matematikte gözlenen artışlar, bölümün daha güçlü bir akademik giriş profiline sahip öğrenciler çektiğini düşündürmektedir. Sayısal alanlarda mutlak net düzeyleri hâlâ düşük olmakla birlikte, özellikle AYT Matematik ve TYT Fen </w:t>
      </w:r>
      <w:r w:rsidRPr="00760969">
        <w:rPr>
          <w:lang w:val="tr-TR"/>
        </w:rPr>
        <w:t>Bilimlerindeki</w:t>
      </w:r>
      <w:r w:rsidRPr="00760969">
        <w:rPr>
          <w:lang w:val="tr-TR"/>
        </w:rPr>
        <w:t xml:space="preserve"> artışlar dikkat çekicidir. Bu durum, bir yandan bölümün öğrenci niteliğinde genel bir toparlanmaya işaret ederken, </w:t>
      </w:r>
      <w:r w:rsidRPr="00760969">
        <w:rPr>
          <w:lang w:val="tr-TR"/>
        </w:rPr>
        <w:lastRenderedPageBreak/>
        <w:t>diğer yandan sayısal derslerde destek ihtiyacının tamamen ortadan kalkmadığını göstermektedir. Kısacası 2025 tablosu, “daha güçlü gelen ama hâlâ özellikle nicel derslerde desteklenmesi gereken” bir öğrenci profilini yansıtmaktadır.</w:t>
      </w:r>
    </w:p>
    <w:p w14:paraId="30AC3876" w14:textId="66BB8DB8" w:rsidR="00745CFD" w:rsidRDefault="00760969" w:rsidP="00760969">
      <w:pPr>
        <w:jc w:val="both"/>
        <w:rPr>
          <w:b/>
          <w:bCs/>
          <w:lang w:val="tr-TR"/>
        </w:rPr>
      </w:pPr>
      <w:r w:rsidRPr="00760969">
        <w:rPr>
          <w:b/>
          <w:bCs/>
          <w:lang w:val="tr-TR"/>
        </w:rPr>
        <w:t>Karşılaştırmalı Bulgular ve Genel Değerlendirme</w:t>
      </w:r>
    </w:p>
    <w:p w14:paraId="4FE4F1F5" w14:textId="7EB9E089" w:rsidR="00760969" w:rsidRDefault="003E0E4C" w:rsidP="00760969">
      <w:pPr>
        <w:jc w:val="both"/>
        <w:rPr>
          <w:lang w:val="tr-TR"/>
        </w:rPr>
      </w:pPr>
      <w:r w:rsidRPr="003E0E4C">
        <w:rPr>
          <w:lang w:val="tr-TR"/>
        </w:rPr>
        <w:t xml:space="preserve">2025 yılı verileri birlikte değerlendirildiğinde, Nevşehir Hacı Bektaş Veli Üniversitesi İşletme Bölümünün öğrenci profilinde önceki yıllara kıyasla dikkat çekici bir güçlenme olduğu görülmektedir. Yerleşme puanları ve başarı sıraları bakımından 2025 </w:t>
      </w:r>
      <w:proofErr w:type="gramStart"/>
      <w:r w:rsidRPr="003E0E4C">
        <w:rPr>
          <w:lang w:val="tr-TR"/>
        </w:rPr>
        <w:t>yılı,</w:t>
      </w:r>
      <w:proofErr w:type="gramEnd"/>
      <w:r w:rsidRPr="003E0E4C">
        <w:rPr>
          <w:lang w:val="tr-TR"/>
        </w:rPr>
        <w:t xml:space="preserve"> hem üst dilimde hem de alt yerleşme bandında daha yüksek nitelikli bir öğrenci grubunun bölüme yöneldiğine işaret etmektedir. Tavan puanın 336,028’e, taban puanın ise 276,589’a yükselmiş olması; ayrıca ilk yerleşen başarı sırasının 170.152’ye, son yerleşen başarı sırasının ise 531.034’e gerilemesi, bölümün 2025 yılında daha güçlü bir giriş profiline sahip öğrenci kitlesi çektiğini göstermektedir. Bu iyileşme yalnızca en yüksek başarı gösteren öğrenciler düzeyinde değil, genel yerleşme bandının tamamında hissedilmektedir. Dolayısıyla 2025 yılı, bölüm açısından sadece sayısal bir artış değil, aynı zamanda öğrenci niteliği bakımından daha olumlu bir görünüm sunmaktadır.</w:t>
      </w:r>
    </w:p>
    <w:p w14:paraId="15FE6FA4" w14:textId="552D6C8B" w:rsidR="003E0E4C" w:rsidRDefault="003E0E4C" w:rsidP="00760969">
      <w:pPr>
        <w:jc w:val="both"/>
        <w:rPr>
          <w:lang w:val="tr-TR"/>
        </w:rPr>
      </w:pPr>
      <w:r w:rsidRPr="003E0E4C">
        <w:rPr>
          <w:lang w:val="tr-TR"/>
        </w:rPr>
        <w:t>Cinsiyet dağılımı açısından da 2025 yılında dikkat çekici bir tablo ortaya çıkmaktadır. Kız öğrenciler toplam yerleşenler içinde %67,3’lük pay ile açık biçimde çoğunluğu oluştururken, erkek öğrencilerin oranı %32,7 düzeyinde kalmıştır. Bu durum, bölümün kız öğrenciler tarafından daha yüksek oranda tercih edilmeye devam ettiğini göstermektedir. Üstelik burada yalnızca mevcut yılın anlık bir görünümünden değil, giderek belirginleşen bir eğilimden söz etmek mümkündür. 2024 yılında kız öğrencilerin oranı %61,8 iken 2025 yılında bu oranın %67,3’e yükselmiş olması, cinsiyet kompozisyonunda kız öğrenciler lehine olan yapının daha da güçlendiğini göstermektedir. Başka bir ifadeyle, bölümün öğrenci kitlesi yalnızca akademik göstergeler bakımından değil, demografik tercih örüntüsü bakımından da daha belirgin bir profile sahip hale gelmiştir.</w:t>
      </w:r>
    </w:p>
    <w:p w14:paraId="04FC4DFF" w14:textId="7463DD94" w:rsidR="003E0E4C" w:rsidRDefault="003E0E4C" w:rsidP="00760969">
      <w:pPr>
        <w:jc w:val="both"/>
        <w:rPr>
          <w:lang w:val="tr-TR"/>
        </w:rPr>
      </w:pPr>
      <w:r w:rsidRPr="003E0E4C">
        <w:rPr>
          <w:lang w:val="tr-TR"/>
        </w:rPr>
        <w:t xml:space="preserve">2025 yılı YKS net ortalamaları ise bu genel iyileşmenin ders bazlı başarı bileşimini daha ayrıntılı biçimde ortaya koymaktadır. Ortalama </w:t>
      </w:r>
      <w:proofErr w:type="spellStart"/>
      <w:r w:rsidRPr="003E0E4C">
        <w:rPr>
          <w:lang w:val="tr-TR"/>
        </w:rPr>
        <w:t>OBP’nin</w:t>
      </w:r>
      <w:proofErr w:type="spellEnd"/>
      <w:r w:rsidRPr="003E0E4C">
        <w:rPr>
          <w:lang w:val="tr-TR"/>
        </w:rPr>
        <w:t xml:space="preserve"> 409,195’e yükselmiş olması, öğrencilerin ortaöğretim başarı performanslarının da önceki yıla göre daha yüksek bir zeminden geldiğini göstermektedir. </w:t>
      </w:r>
      <w:proofErr w:type="spellStart"/>
      <w:r w:rsidRPr="003E0E4C">
        <w:rPr>
          <w:lang w:val="tr-TR"/>
        </w:rPr>
        <w:t>TYT’de</w:t>
      </w:r>
      <w:proofErr w:type="spellEnd"/>
      <w:r w:rsidRPr="003E0E4C">
        <w:rPr>
          <w:lang w:val="tr-TR"/>
        </w:rPr>
        <w:t xml:space="preserve"> Türkçe ve Sosyal Bilimler testlerinde görece daha yüksek net ortalamaları dikkat çekerken, Matematik ve Fen Bilimleri testlerinde başarı düzeyleri yine sınırlı kalmıştır. AYT tarafında da Türk Dili ve Edebiyatı ile Tarih-1 ve kısmen Coğrafya-1 gibi alanlarda daha dengeli bir görünüm bulunmakla birlikte, AYT Matematik netlerinin hâlâ düşük düzeyde olduğu anlaşılmaktadır. Bu durum, 2025 yılında bölüme yerleşen öğrencilerin sözel ve yorumlama becerileri bakımından daha güçlü, nicel alanlarda ise görece daha kırılgan bir profile sahip olduğunu göstermektedir. Bununla birlikte, önceki yıla kıyasla özellikle AYT Matematik ve TYT Fen Bilimleri gibi alanlarda görülen artışlar, nicel performansın tamamen durağan olmadığını, belirli ölçüde toparlanma eğilimi sergilediğini de düşündürmektedir.</w:t>
      </w:r>
    </w:p>
    <w:p w14:paraId="2D6FCE54" w14:textId="5169D9ED" w:rsidR="003E0E4C" w:rsidRDefault="003E0E4C" w:rsidP="00760969">
      <w:pPr>
        <w:jc w:val="both"/>
        <w:rPr>
          <w:lang w:val="tr-TR"/>
        </w:rPr>
      </w:pPr>
      <w:r w:rsidRPr="003E0E4C">
        <w:rPr>
          <w:lang w:val="tr-TR"/>
        </w:rPr>
        <w:lastRenderedPageBreak/>
        <w:t xml:space="preserve">Önceki rapor bulguları ile karşılaştırıldığında 2025 yılı, 2022–2024 döneminde gözlenen görece istikrarlı fakat sınırlı iyileşme eğiliminin daha belirgin bir sıçramaya dönüştüğü bir yıl görünümündedir. </w:t>
      </w:r>
      <w:r>
        <w:rPr>
          <w:lang w:val="tr-TR"/>
        </w:rPr>
        <w:t>Bir yıl önce hazırlanan raporda</w:t>
      </w:r>
      <w:r w:rsidRPr="003E0E4C">
        <w:rPr>
          <w:lang w:val="tr-TR"/>
        </w:rPr>
        <w:t xml:space="preserve"> 2024 yılı için, taban puanların büyük ölçüde istikrarlı seyrettiği, ilk yerleşen başarı sırasının önceki iki yıla göre iyileştiği ve son yerleşen sıradaki değişimin daha sınırlı kaldığı </w:t>
      </w:r>
      <w:r>
        <w:rPr>
          <w:lang w:val="tr-TR"/>
        </w:rPr>
        <w:t>görülmektedir</w:t>
      </w:r>
      <w:r w:rsidRPr="003E0E4C">
        <w:rPr>
          <w:lang w:val="tr-TR"/>
        </w:rPr>
        <w:t>. Buna karşılık 2025 verileri, artık yalnızca sınırlı bir iyileşmeden değil, daha geniş bantta hissedilen güçlü bir toparlanmadan söz etmeyi mümkün kılmaktadır. Özellikle son yerleşen başarı sırasındaki düzelme, bölümün alt yerleşme eşiğinde dahi daha güçlü bir talep yapısı ile karşılaştığın</w:t>
      </w:r>
      <w:r>
        <w:rPr>
          <w:lang w:val="tr-TR"/>
        </w:rPr>
        <w:t>a işaret etmektedir</w:t>
      </w:r>
      <w:r w:rsidRPr="003E0E4C">
        <w:rPr>
          <w:lang w:val="tr-TR"/>
        </w:rPr>
        <w:t xml:space="preserve">. Aynı şekilde 2024 </w:t>
      </w:r>
      <w:r>
        <w:rPr>
          <w:lang w:val="tr-TR"/>
        </w:rPr>
        <w:t>yılı için</w:t>
      </w:r>
      <w:r w:rsidRPr="003E0E4C">
        <w:rPr>
          <w:lang w:val="tr-TR"/>
        </w:rPr>
        <w:t xml:space="preserve"> öğrencilerin sözel testlerde görece güçlü, sayısal testlerde ise daha zayıf bir profile sahip olduğu </w:t>
      </w:r>
      <w:r>
        <w:rPr>
          <w:lang w:val="tr-TR"/>
        </w:rPr>
        <w:t>görülmekteydi.</w:t>
      </w:r>
      <w:r w:rsidRPr="003E0E4C">
        <w:rPr>
          <w:lang w:val="tr-TR"/>
        </w:rPr>
        <w:t xml:space="preserve"> 2025 verileri bu temel </w:t>
      </w:r>
      <w:r>
        <w:rPr>
          <w:lang w:val="tr-TR"/>
        </w:rPr>
        <w:t>örüntüyü</w:t>
      </w:r>
      <w:r w:rsidRPr="003E0E4C">
        <w:rPr>
          <w:lang w:val="tr-TR"/>
        </w:rPr>
        <w:t xml:space="preserve"> korumakla birlikte, sözel </w:t>
      </w:r>
      <w:r w:rsidRPr="003E0E4C">
        <w:rPr>
          <w:lang w:val="tr-TR"/>
        </w:rPr>
        <w:t>alanlardaki</w:t>
      </w:r>
      <w:r w:rsidRPr="003E0E4C">
        <w:rPr>
          <w:lang w:val="tr-TR"/>
        </w:rPr>
        <w:t xml:space="preserve"> üstünlüğe ek olarak sayısal göstergelerde de kısmi bir iyileşme ortaya koymaktadır. </w:t>
      </w:r>
      <w:r>
        <w:rPr>
          <w:lang w:val="tr-TR"/>
        </w:rPr>
        <w:t>Buradan hareketle önceki yıllardan gelen</w:t>
      </w:r>
      <w:r w:rsidRPr="003E0E4C">
        <w:rPr>
          <w:lang w:val="tr-TR"/>
        </w:rPr>
        <w:t xml:space="preserve"> yapı</w:t>
      </w:r>
      <w:r>
        <w:rPr>
          <w:lang w:val="tr-TR"/>
        </w:rPr>
        <w:t>nın</w:t>
      </w:r>
      <w:r w:rsidRPr="003E0E4C">
        <w:rPr>
          <w:lang w:val="tr-TR"/>
        </w:rPr>
        <w:t xml:space="preserve"> değişme</w:t>
      </w:r>
      <w:r>
        <w:rPr>
          <w:lang w:val="tr-TR"/>
        </w:rPr>
        <w:t>diği</w:t>
      </w:r>
      <w:r w:rsidRPr="003E0E4C">
        <w:rPr>
          <w:lang w:val="tr-TR"/>
        </w:rPr>
        <w:t>, fakat yapı içindeki genel performans düzeyi</w:t>
      </w:r>
      <w:r>
        <w:rPr>
          <w:lang w:val="tr-TR"/>
        </w:rPr>
        <w:t>nin</w:t>
      </w:r>
      <w:r w:rsidRPr="003E0E4C">
        <w:rPr>
          <w:lang w:val="tr-TR"/>
        </w:rPr>
        <w:t xml:space="preserve"> yukarı </w:t>
      </w:r>
      <w:r>
        <w:rPr>
          <w:lang w:val="tr-TR"/>
        </w:rPr>
        <w:t>taşındığı ifade edilebilir</w:t>
      </w:r>
      <w:r w:rsidRPr="003E0E4C">
        <w:rPr>
          <w:lang w:val="tr-TR"/>
        </w:rPr>
        <w:t>.</w:t>
      </w:r>
    </w:p>
    <w:p w14:paraId="20DE3E80" w14:textId="06E9A2E2" w:rsidR="003E0E4C" w:rsidRPr="003E0E4C" w:rsidRDefault="003E0E4C" w:rsidP="00760969">
      <w:pPr>
        <w:jc w:val="both"/>
        <w:rPr>
          <w:lang w:val="tr-TR"/>
        </w:rPr>
      </w:pPr>
      <w:r w:rsidRPr="003E0E4C">
        <w:rPr>
          <w:lang w:val="tr-TR"/>
        </w:rPr>
        <w:t>Genel olarak değerlendirildiğinde, 2025 yılı verileri İşletme Bölümünün öğrenci profilinde hem akademik kalite hem de tercih dinamikleri bakımından olumlu bir gelişmeye işaret etmektedir. Yerleşme puanları ve başarı sıralarındaki yükseliş, bölümün daha güçlü bir öğrenci kitlesi tarafından tercih edildiğini göstermekte; cinsiyet dağılımındaki görünüm ise kız öğrenciler lehine süregelen yapının devam ettiğini ortaya koymaktadır. YKS net ortalamaları bakımından öğrencilerin sözel alanlardaki görece üstünlükleri korunurken, nicel alanlarda da önceki yıla göre belirli bir toparlanma gözlenmektedir. Bununla birlikte, özellikle matematik ve fen temelli performans düzeyleri dikkate alındığında, sayısal içerikli derslerde destekleyici akademik uygulamalara olan ihtiyacın tamamen ortadan kalkmadığı anlaşılmaktadır. Bu çerçevede 2025 yılı, bölüm açısından hem tercih edilirlik hem de öğrenci niteliği bakımından olumlu bir eşiğe işaret etmekte; aynı zamanda akademik planlama, ders tasarımı ve destek mekanizmaları açısından yol gösterici veriler sunmaktadır.</w:t>
      </w:r>
    </w:p>
    <w:sectPr w:rsidR="003E0E4C" w:rsidRPr="003E0E4C" w:rsidSect="002471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094"/>
    <w:rsid w:val="00060AC1"/>
    <w:rsid w:val="00130CC4"/>
    <w:rsid w:val="001913C4"/>
    <w:rsid w:val="0024712C"/>
    <w:rsid w:val="00313B7F"/>
    <w:rsid w:val="00320BC9"/>
    <w:rsid w:val="003E0E4C"/>
    <w:rsid w:val="004063F5"/>
    <w:rsid w:val="00436E51"/>
    <w:rsid w:val="005C57B6"/>
    <w:rsid w:val="00653DD6"/>
    <w:rsid w:val="00745CFD"/>
    <w:rsid w:val="00760969"/>
    <w:rsid w:val="007F4148"/>
    <w:rsid w:val="00854EDD"/>
    <w:rsid w:val="009A5E0C"/>
    <w:rsid w:val="00A77531"/>
    <w:rsid w:val="00A874E9"/>
    <w:rsid w:val="00A875B8"/>
    <w:rsid w:val="00D762F9"/>
    <w:rsid w:val="00D9087E"/>
    <w:rsid w:val="00E52C39"/>
    <w:rsid w:val="00F026BD"/>
    <w:rsid w:val="00F9109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ACA2A"/>
  <w15:chartTrackingRefBased/>
  <w15:docId w15:val="{47E81697-B593-45FB-92F2-ED777FB9E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7B6"/>
  </w:style>
  <w:style w:type="paragraph" w:styleId="Balk1">
    <w:name w:val="heading 1"/>
    <w:basedOn w:val="Normal"/>
    <w:next w:val="Normal"/>
    <w:link w:val="Balk1Char"/>
    <w:uiPriority w:val="9"/>
    <w:qFormat/>
    <w:rsid w:val="00F910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F910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F91094"/>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F91094"/>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F91094"/>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F9109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F9109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F9109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F9109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91094"/>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F91094"/>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F91094"/>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F91094"/>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F91094"/>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F9109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F9109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F9109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F91094"/>
    <w:rPr>
      <w:rFonts w:eastAsiaTheme="majorEastAsia" w:cstheme="majorBidi"/>
      <w:color w:val="272727" w:themeColor="text1" w:themeTint="D8"/>
    </w:rPr>
  </w:style>
  <w:style w:type="paragraph" w:styleId="KonuBal">
    <w:name w:val="Title"/>
    <w:basedOn w:val="Normal"/>
    <w:next w:val="Normal"/>
    <w:link w:val="KonuBalChar"/>
    <w:uiPriority w:val="10"/>
    <w:qFormat/>
    <w:rsid w:val="00F910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F9109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F9109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F9109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F9109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F91094"/>
    <w:rPr>
      <w:i/>
      <w:iCs/>
      <w:color w:val="404040" w:themeColor="text1" w:themeTint="BF"/>
    </w:rPr>
  </w:style>
  <w:style w:type="paragraph" w:styleId="ListeParagraf">
    <w:name w:val="List Paragraph"/>
    <w:basedOn w:val="Normal"/>
    <w:uiPriority w:val="34"/>
    <w:qFormat/>
    <w:rsid w:val="00F91094"/>
    <w:pPr>
      <w:ind w:left="720"/>
      <w:contextualSpacing/>
    </w:pPr>
  </w:style>
  <w:style w:type="character" w:styleId="GlVurgulama">
    <w:name w:val="Intense Emphasis"/>
    <w:basedOn w:val="VarsaylanParagrafYazTipi"/>
    <w:uiPriority w:val="21"/>
    <w:qFormat/>
    <w:rsid w:val="00F91094"/>
    <w:rPr>
      <w:i/>
      <w:iCs/>
      <w:color w:val="0F4761" w:themeColor="accent1" w:themeShade="BF"/>
    </w:rPr>
  </w:style>
  <w:style w:type="paragraph" w:styleId="GlAlnt">
    <w:name w:val="Intense Quote"/>
    <w:basedOn w:val="Normal"/>
    <w:next w:val="Normal"/>
    <w:link w:val="GlAlntChar"/>
    <w:uiPriority w:val="30"/>
    <w:qFormat/>
    <w:rsid w:val="00F910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F91094"/>
    <w:rPr>
      <w:i/>
      <w:iCs/>
      <w:color w:val="0F4761" w:themeColor="accent1" w:themeShade="BF"/>
    </w:rPr>
  </w:style>
  <w:style w:type="character" w:styleId="GlBavuru">
    <w:name w:val="Intense Reference"/>
    <w:basedOn w:val="VarsaylanParagrafYazTipi"/>
    <w:uiPriority w:val="32"/>
    <w:qFormat/>
    <w:rsid w:val="00F91094"/>
    <w:rPr>
      <w:b/>
      <w:bCs/>
      <w:smallCaps/>
      <w:color w:val="0F4761" w:themeColor="accent1" w:themeShade="BF"/>
      <w:spacing w:val="5"/>
    </w:rPr>
  </w:style>
  <w:style w:type="table" w:styleId="TabloKlavuzu">
    <w:name w:val="Table Grid"/>
    <w:basedOn w:val="NormalTablo"/>
    <w:uiPriority w:val="39"/>
    <w:rsid w:val="00F910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1878</Words>
  <Characters>10705</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Gokhan Secme</dc:creator>
  <cp:keywords/>
  <dc:description/>
  <cp:lastModifiedBy>Ömer  Serkan Gülal</cp:lastModifiedBy>
  <cp:revision>2</cp:revision>
  <dcterms:created xsi:type="dcterms:W3CDTF">2026-04-22T09:51:00Z</dcterms:created>
  <dcterms:modified xsi:type="dcterms:W3CDTF">2026-04-22T09:51:00Z</dcterms:modified>
</cp:coreProperties>
</file>